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6239" w14:textId="77777777" w:rsidR="0084741E" w:rsidRDefault="0084741E" w:rsidP="0084741E">
      <w:pPr>
        <w:pStyle w:val="Titolo2"/>
        <w:rPr>
          <w:lang w:val="it"/>
        </w:rPr>
      </w:pPr>
      <w:bookmarkStart w:id="0" w:name="_Toc153791420"/>
      <w:r>
        <w:rPr>
          <w:lang w:val="it"/>
        </w:rPr>
        <w:t>D</w:t>
      </w:r>
      <w:r w:rsidRPr="541BBD01">
        <w:rPr>
          <w:lang w:val="it"/>
        </w:rPr>
        <w:t>.1- Format Certificato di Regolare Esecuzione (CRE)</w:t>
      </w:r>
      <w:bookmarkEnd w:id="0"/>
    </w:p>
    <w:p w14:paraId="7B560A75" w14:textId="77777777" w:rsidR="0084741E" w:rsidRDefault="0084741E" w:rsidP="0084741E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541BBD01">
        <w:rPr>
          <w:rFonts w:ascii="Calibri" w:eastAsia="Calibri" w:hAnsi="Calibri" w:cs="Calibri"/>
          <w:color w:val="000000" w:themeColor="text1"/>
          <w:lang w:val="it"/>
        </w:rPr>
        <w:t xml:space="preserve">INTESTAZIONE ENTE                                                                           </w:t>
      </w:r>
      <w:r w:rsidRPr="541BBD01">
        <w:rPr>
          <w:rFonts w:ascii="Calibri" w:eastAsia="Calibri" w:hAnsi="Calibri" w:cs="Calibri"/>
          <w:color w:val="000000" w:themeColor="text1"/>
        </w:rPr>
        <w:t> </w:t>
      </w:r>
      <w:r>
        <w:rPr>
          <w:noProof/>
          <w:color w:val="2B579A"/>
          <w:shd w:val="clear" w:color="auto" w:fill="E6E6E6"/>
        </w:rPr>
        <w:drawing>
          <wp:inline distT="0" distB="0" distL="0" distR="0" wp14:anchorId="598D62D4" wp14:editId="201548BE">
            <wp:extent cx="1781175" cy="657225"/>
            <wp:effectExtent l="0" t="0" r="0" b="0"/>
            <wp:docPr id="917128862" name="Immagine 917128862" descr="Immagine che contiene testo, Blu elettric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28862" name="Immagine 917128862" descr="Immagine che contiene testo, Blu elettrico, Carattere, schermata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C1DF8" w14:textId="77777777" w:rsidR="0084741E" w:rsidRDefault="0084741E" w:rsidP="0084741E">
      <w:pPr>
        <w:spacing w:line="276" w:lineRule="auto"/>
        <w:rPr>
          <w:rFonts w:ascii="Arial" w:eastAsia="Arial" w:hAnsi="Arial" w:cs="Arial"/>
          <w:color w:val="000000" w:themeColor="text1"/>
        </w:rPr>
      </w:pPr>
    </w:p>
    <w:p w14:paraId="4D76897C" w14:textId="77777777" w:rsidR="0084741E" w:rsidRDefault="0084741E" w:rsidP="0084741E">
      <w:pPr>
        <w:spacing w:line="276" w:lineRule="auto"/>
        <w:jc w:val="center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Calibri" w:eastAsia="Calibri" w:hAnsi="Calibri" w:cs="Calibri"/>
          <w:color w:val="000000" w:themeColor="text1"/>
          <w:lang w:val="it"/>
        </w:rPr>
        <w:t xml:space="preserve"> </w:t>
      </w:r>
      <w:r w:rsidRPr="541BBD01">
        <w:rPr>
          <w:rFonts w:ascii="Titillium Web" w:eastAsia="Titillium Web" w:hAnsi="Titillium Web" w:cs="Titillium Web"/>
          <w:b/>
          <w:bCs/>
          <w:color w:val="000000" w:themeColor="text1"/>
          <w:lang w:val="it"/>
        </w:rPr>
        <w:t xml:space="preserve">CERTIFICATO DI REGOLARE ESECUZIONE </w:t>
      </w:r>
    </w:p>
    <w:p w14:paraId="57854472" w14:textId="77777777" w:rsidR="0084741E" w:rsidRDefault="0084741E" w:rsidP="0084741E">
      <w:pPr>
        <w:spacing w:before="200" w:after="120" w:line="276" w:lineRule="auto"/>
        <w:jc w:val="center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Il Responsabile Unico del Procedimento /</w:t>
      </w:r>
    </w:p>
    <w:p w14:paraId="2E9FA08F" w14:textId="77777777" w:rsidR="0084741E" w:rsidRDefault="0084741E" w:rsidP="0084741E">
      <w:pPr>
        <w:spacing w:after="120" w:line="276" w:lineRule="auto"/>
        <w:jc w:val="center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Il Responsabile Unico di Progetto (</w:t>
      </w:r>
      <w:r w:rsidRPr="541BBD01">
        <w:rPr>
          <w:rFonts w:ascii="Titillium Web" w:eastAsia="Titillium Web" w:hAnsi="Titillium Web" w:cs="Titillium Web"/>
          <w:i/>
          <w:iCs/>
          <w:color w:val="000000" w:themeColor="text1"/>
          <w:lang w:val="it"/>
        </w:rPr>
        <w:t>per servizi affidati dopo il 1° luglio 2023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)</w:t>
      </w:r>
    </w:p>
    <w:p w14:paraId="3CDF4AF1" w14:textId="77777777" w:rsidR="0084741E" w:rsidRDefault="0084741E" w:rsidP="0084741E">
      <w:pPr>
        <w:spacing w:after="120"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VISTO</w:t>
      </w:r>
      <w:proofErr w:type="gramStart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 ….</w:t>
      </w:r>
      <w:proofErr w:type="gramEnd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.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(</w:t>
      </w:r>
      <w:r w:rsidRPr="00707CF8">
        <w:rPr>
          <w:rFonts w:ascii="Titillium Web" w:eastAsia="Titillium Web" w:hAnsi="Titillium Web" w:cs="Titillium Web"/>
          <w:i/>
          <w:iCs/>
          <w:color w:val="000000" w:themeColor="text1"/>
          <w:highlight w:val="lightGray"/>
          <w:lang w:val="it"/>
        </w:rPr>
        <w:t>inserire eventuali Visti di competenza dell’ente richiedente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);</w:t>
      </w:r>
    </w:p>
    <w:p w14:paraId="5D4AD3D8" w14:textId="77777777" w:rsidR="0084741E" w:rsidRDefault="0084741E" w:rsidP="0084741E">
      <w:pPr>
        <w:spacing w:after="120"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VISTO il Decreto Legislativo n. 50 del 18 aprile 2016, “Codice dei contratti pubblici” e </w:t>
      </w:r>
      <w:proofErr w:type="spellStart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ss.mm.ii</w:t>
      </w:r>
      <w:proofErr w:type="spellEnd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. e, in particolare, l’art. 102;</w:t>
      </w:r>
    </w:p>
    <w:p w14:paraId="1AADEC93" w14:textId="77777777" w:rsidR="0084741E" w:rsidRDefault="0084741E" w:rsidP="0084741E">
      <w:pPr>
        <w:spacing w:after="120"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VISTO il Decreto Legislativo n. 36 del 31 marzo 2023, “Codice dei contratti pubblici in attuazione dell'articolo 1 della legge 21 giugno 2022, n. 78, recante delega al Governo in materia di contratti pubblici” e, in particolare, gli artt. 116 e 225 (</w:t>
      </w:r>
      <w:r w:rsidRPr="541BBD01">
        <w:rPr>
          <w:rFonts w:ascii="Titillium Web" w:eastAsia="Titillium Web" w:hAnsi="Titillium Web" w:cs="Titillium Web"/>
          <w:i/>
          <w:iCs/>
          <w:color w:val="000000" w:themeColor="text1"/>
          <w:lang w:val="it"/>
        </w:rPr>
        <w:t>in caso di servizi affidati dopo il 1° luglio 2023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);</w:t>
      </w:r>
    </w:p>
    <w:p w14:paraId="1D59747C" w14:textId="77777777" w:rsidR="0084741E" w:rsidRDefault="0084741E" w:rsidP="0084741E">
      <w:pPr>
        <w:spacing w:after="120"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CONSIDERATO</w:t>
      </w:r>
      <w:r w:rsidRPr="541BBD01">
        <w:rPr>
          <w:rFonts w:ascii="Titillium Web" w:eastAsia="Titillium Web" w:hAnsi="Titillium Web" w:cs="Titillium Web"/>
          <w:i/>
          <w:iCs/>
          <w:color w:val="000000" w:themeColor="text1"/>
          <w:lang w:val="it"/>
        </w:rPr>
        <w:t xml:space="preserve">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che il comma 2 dell’art. 48 del D.L. n. 77/2021 stabilisce che sia nominato, per ogni procedura di acquisti PNRR, un Responsabile Unico del Procedimento il quale “con propria determinazione adeguatamente motivata, valida e approva ciascuna fase progettuale o di esecuzione del contratto, anche in corso d’opera”;</w:t>
      </w:r>
    </w:p>
    <w:p w14:paraId="0BD66B8D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VISTO l’Avviso pubblico per la presentazione di domande di partecipazione a valere sul PNRR –Piano Nazionale Di Ripresa e Resilienza - Missione 1 – Componente 1 – Investimento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………………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  – “Misura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……. </w:t>
      </w:r>
      <w:proofErr w:type="gramStart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– ”</w:t>
      </w:r>
      <w:proofErr w:type="gramEnd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 del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………..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Finanziato dall’Unione Europea – </w:t>
      </w:r>
      <w:proofErr w:type="spellStart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NextGenerationEU</w:t>
      </w:r>
      <w:proofErr w:type="spellEnd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;</w:t>
      </w:r>
    </w:p>
    <w:p w14:paraId="3BE8C409" w14:textId="77777777" w:rsidR="0084741E" w:rsidRDefault="0084741E" w:rsidP="0084741E">
      <w:pPr>
        <w:spacing w:after="120"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VISTO, in particolare, l’art. 1 comma 3 del richiamato Avviso, secondo cui “l'importo del finanziamento concedibile ai Soggetti Attuatori di cui all’art. 5 è individuato, ai sensi dell’art. 53 par. 1. lett. c) del Reg. UE 1060/2021, in un importo forfettario (</w:t>
      </w:r>
      <w:proofErr w:type="spellStart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lump</w:t>
      </w:r>
      <w:proofErr w:type="spellEnd"/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 sum). Il finanziamento, nella misura dell’importo forfettario, sarà erogato in un’unica soluzione a seguito del perfezionamento delle attività oggetto del finanziamento per come disposto all’art. 13 del presente Avviso”.</w:t>
      </w:r>
    </w:p>
    <w:p w14:paraId="6BB54F81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VISTA la candidatura presentata da questo Ente in data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……</w:t>
      </w:r>
      <w:proofErr w:type="gramStart"/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…….</w:t>
      </w:r>
      <w:proofErr w:type="gramEnd"/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.;</w:t>
      </w:r>
    </w:p>
    <w:p w14:paraId="25B7F795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VISTA l’assegnazione del finanziamento con Decreto di finanziamento n.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</w:t>
      </w:r>
      <w:proofErr w:type="gramStart"/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…….</w:t>
      </w:r>
      <w:proofErr w:type="gramEnd"/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.: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Elenco istanze finanziate sull’avviso pubblico “Avviso Misura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…….. “……………</w:t>
      </w:r>
      <w:proofErr w:type="gramStart"/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>…”–</w:t>
      </w:r>
      <w:proofErr w:type="gramEnd"/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CUP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……………………….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– importo €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………………,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nell’ambito del progetto in oggetto;</w:t>
      </w:r>
    </w:p>
    <w:p w14:paraId="1DA1E260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VISTI i provvedimenti con i quali si è disposta la realizzazione delle attività di cui all’elenco seguente (d’ora in poi “Tabella 1”):</w:t>
      </w:r>
    </w:p>
    <w:p w14:paraId="66764F25" w14:textId="77777777" w:rsidR="0084741E" w:rsidRDefault="0084741E" w:rsidP="0084741E">
      <w:pPr>
        <w:spacing w:line="276" w:lineRule="auto"/>
        <w:ind w:left="720"/>
        <w:jc w:val="both"/>
        <w:rPr>
          <w:rFonts w:ascii="Titillium Web" w:eastAsia="Titillium Web" w:hAnsi="Titillium Web" w:cs="Titillium Web"/>
          <w:color w:val="000000" w:themeColor="text1"/>
        </w:rPr>
      </w:pPr>
      <w:r>
        <w:rPr>
          <w:rFonts w:ascii="Titillium Web" w:eastAsia="Titillium Web" w:hAnsi="Titillium Web" w:cs="Titillium Web"/>
          <w:color w:val="000000" w:themeColor="text1"/>
        </w:rPr>
        <w:lastRenderedPageBreak/>
        <w:t xml:space="preserve">Tabella 1 </w:t>
      </w:r>
      <w:r w:rsidRPr="00707CF8">
        <w:rPr>
          <w:rFonts w:ascii="Titillium Web" w:eastAsia="Titillium Web" w:hAnsi="Titillium Web" w:cs="Titillium Web"/>
          <w:i/>
          <w:iCs/>
          <w:color w:val="000000" w:themeColor="text1"/>
        </w:rPr>
        <w:t>(esemplificativa)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70"/>
        <w:gridCol w:w="1995"/>
        <w:gridCol w:w="1650"/>
        <w:gridCol w:w="1807"/>
        <w:gridCol w:w="1763"/>
      </w:tblGrid>
      <w:tr w:rsidR="0084741E" w14:paraId="4DD7B65E" w14:textId="77777777" w:rsidTr="00534F51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C72936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20"/>
                <w:szCs w:val="20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sz w:val="20"/>
                <w:szCs w:val="20"/>
                <w:lang w:val="it"/>
              </w:rPr>
              <w:t>Servizio finanziato</w:t>
            </w:r>
          </w:p>
          <w:p w14:paraId="6A84F699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sz w:val="20"/>
                <w:szCs w:val="20"/>
                <w:lang w:val="it"/>
              </w:rPr>
              <w:t xml:space="preserve"> </w:t>
            </w: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>(indicare ogni servizio inserito in candidatura)</w:t>
            </w:r>
          </w:p>
          <w:p w14:paraId="09F540B3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16"/>
                <w:szCs w:val="16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>(vedi esempi)</w:t>
            </w:r>
          </w:p>
        </w:tc>
        <w:tc>
          <w:tcPr>
            <w:tcW w:w="19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BFC2D5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20"/>
                <w:szCs w:val="20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sz w:val="20"/>
                <w:szCs w:val="20"/>
                <w:lang w:val="it"/>
              </w:rPr>
              <w:t>Fornitore</w:t>
            </w:r>
          </w:p>
          <w:p w14:paraId="77A23ADE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b/>
                <w:bCs/>
                <w:i/>
                <w:iCs/>
                <w:color w:val="1F487C"/>
                <w:sz w:val="16"/>
                <w:szCs w:val="16"/>
                <w:lang w:val="it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87C"/>
                <w:sz w:val="16"/>
                <w:szCs w:val="16"/>
                <w:lang w:val="it"/>
              </w:rPr>
              <w:t>(indicare tutti i soggetti realizzatori, oppure l’ente stesso in caso di sviluppi in economia)</w:t>
            </w:r>
          </w:p>
          <w:p w14:paraId="25B96085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87C"/>
                <w:sz w:val="16"/>
                <w:szCs w:val="16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>(vedi esempi)</w:t>
            </w:r>
          </w:p>
        </w:tc>
        <w:tc>
          <w:tcPr>
            <w:tcW w:w="16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B88A2F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20"/>
                <w:szCs w:val="20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sz w:val="20"/>
                <w:szCs w:val="20"/>
                <w:lang w:val="it"/>
              </w:rPr>
              <w:t>Nome file caricato nel Fascicolo di Progetto in piattaforma PA Digitale2026</w:t>
            </w:r>
          </w:p>
          <w:p w14:paraId="699A0BEE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16"/>
                <w:szCs w:val="16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>(vedi esempi)</w:t>
            </w:r>
          </w:p>
        </w:tc>
        <w:tc>
          <w:tcPr>
            <w:tcW w:w="180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C8A804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87C"/>
                <w:sz w:val="20"/>
                <w:szCs w:val="20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87C"/>
                <w:sz w:val="20"/>
                <w:szCs w:val="20"/>
                <w:lang w:val="it"/>
              </w:rPr>
              <w:t xml:space="preserve">Affidamento </w:t>
            </w:r>
          </w:p>
          <w:p w14:paraId="0DE27347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87C"/>
                <w:sz w:val="16"/>
                <w:szCs w:val="16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87C"/>
                <w:sz w:val="16"/>
                <w:szCs w:val="16"/>
                <w:lang w:val="it"/>
              </w:rPr>
              <w:t>(</w:t>
            </w: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>vedi esempi)</w:t>
            </w:r>
          </w:p>
        </w:tc>
        <w:tc>
          <w:tcPr>
            <w:tcW w:w="176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6D2BC2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20"/>
                <w:szCs w:val="20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sz w:val="20"/>
                <w:szCs w:val="20"/>
                <w:lang w:val="it"/>
              </w:rPr>
              <w:t>CIG</w:t>
            </w:r>
          </w:p>
          <w:p w14:paraId="4E347776" w14:textId="77777777" w:rsidR="0084741E" w:rsidRDefault="0084741E" w:rsidP="00534F51">
            <w:pPr>
              <w:spacing w:line="276" w:lineRule="auto"/>
              <w:jc w:val="center"/>
              <w:rPr>
                <w:rFonts w:ascii="Titillium Web" w:eastAsia="Titillium Web" w:hAnsi="Titillium Web" w:cs="Titillium Web"/>
                <w:color w:val="1F497D"/>
                <w:sz w:val="14"/>
                <w:szCs w:val="14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i/>
                <w:iCs/>
                <w:color w:val="1F497D"/>
                <w:sz w:val="14"/>
                <w:szCs w:val="14"/>
                <w:lang w:val="it"/>
              </w:rPr>
              <w:t>(se il CIG presente negli atti è stato modificato, indicare il vecchio e il nuovo CIG, spiegando il motivo della modifica)</w:t>
            </w:r>
          </w:p>
        </w:tc>
      </w:tr>
      <w:tr w:rsidR="0084741E" w14:paraId="6986794C" w14:textId="77777777" w:rsidTr="00534F51">
        <w:trPr>
          <w:trHeight w:val="300"/>
        </w:trPr>
        <w:tc>
          <w:tcPr>
            <w:tcW w:w="1770" w:type="dxa"/>
            <w:tcBorders>
              <w:lef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677C1F72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anagrafe</w:t>
            </w:r>
          </w:p>
        </w:tc>
        <w:tc>
          <w:tcPr>
            <w:tcW w:w="1995" w:type="dxa"/>
            <w:shd w:val="clear" w:color="auto" w:fill="auto"/>
            <w:tcMar>
              <w:left w:w="90" w:type="dxa"/>
              <w:right w:w="90" w:type="dxa"/>
            </w:tcMar>
          </w:tcPr>
          <w:p w14:paraId="1FCF3674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Fornitore 1</w:t>
            </w:r>
          </w:p>
        </w:tc>
        <w:tc>
          <w:tcPr>
            <w:tcW w:w="1650" w:type="dxa"/>
            <w:shd w:val="clear" w:color="auto" w:fill="auto"/>
            <w:tcMar>
              <w:left w:w="90" w:type="dxa"/>
              <w:right w:w="90" w:type="dxa"/>
            </w:tcMar>
          </w:tcPr>
          <w:p w14:paraId="6B68B20A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fornitore1.pdf.p7m</w:t>
            </w:r>
          </w:p>
        </w:tc>
        <w:tc>
          <w:tcPr>
            <w:tcW w:w="1807" w:type="dxa"/>
            <w:shd w:val="clear" w:color="auto" w:fill="auto"/>
            <w:tcMar>
              <w:left w:w="90" w:type="dxa"/>
              <w:right w:w="90" w:type="dxa"/>
            </w:tcMar>
          </w:tcPr>
          <w:p w14:paraId="2A8328CA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 xml:space="preserve">Determina </w:t>
            </w:r>
            <w:proofErr w:type="gramStart"/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n..</w:t>
            </w:r>
            <w:proofErr w:type="gramEnd"/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 xml:space="preserve"> del __/__/____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4C08A4E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AB12345678</w:t>
            </w:r>
          </w:p>
        </w:tc>
      </w:tr>
      <w:tr w:rsidR="0084741E" w14:paraId="4956D983" w14:textId="77777777" w:rsidTr="00534F51">
        <w:trPr>
          <w:trHeight w:val="300"/>
        </w:trPr>
        <w:tc>
          <w:tcPr>
            <w:tcW w:w="1770" w:type="dxa"/>
            <w:tcBorders>
              <w:lef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66E843D4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tributi</w:t>
            </w:r>
          </w:p>
        </w:tc>
        <w:tc>
          <w:tcPr>
            <w:tcW w:w="1995" w:type="dxa"/>
            <w:shd w:val="clear" w:color="auto" w:fill="auto"/>
            <w:tcMar>
              <w:left w:w="90" w:type="dxa"/>
              <w:right w:w="90" w:type="dxa"/>
            </w:tcMar>
          </w:tcPr>
          <w:p w14:paraId="777F1971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Fornitore 2</w:t>
            </w:r>
          </w:p>
        </w:tc>
        <w:tc>
          <w:tcPr>
            <w:tcW w:w="1650" w:type="dxa"/>
            <w:shd w:val="clear" w:color="auto" w:fill="auto"/>
            <w:tcMar>
              <w:left w:w="90" w:type="dxa"/>
              <w:right w:w="90" w:type="dxa"/>
            </w:tcMar>
          </w:tcPr>
          <w:p w14:paraId="620006CD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Contrattofornitoreduefinale.pdf.p7m</w:t>
            </w:r>
          </w:p>
        </w:tc>
        <w:tc>
          <w:tcPr>
            <w:tcW w:w="1807" w:type="dxa"/>
            <w:shd w:val="clear" w:color="auto" w:fill="auto"/>
            <w:tcMar>
              <w:left w:w="90" w:type="dxa"/>
              <w:right w:w="90" w:type="dxa"/>
            </w:tcMar>
          </w:tcPr>
          <w:p w14:paraId="3611BEF7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Contratto stipulato in data __/__/___ protocollo n...</w:t>
            </w:r>
          </w:p>
          <w:p w14:paraId="61D7D10F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sz w:val="18"/>
                <w:szCs w:val="18"/>
              </w:rPr>
            </w:pPr>
            <w:r w:rsidRPr="541BBD01">
              <w:rPr>
                <w:rFonts w:ascii="Segoe UI" w:eastAsia="Segoe UI" w:hAnsi="Segoe UI" w:cs="Segoe UI"/>
                <w:color w:val="333333"/>
                <w:sz w:val="18"/>
                <w:szCs w:val="18"/>
                <w:lang w:val="it"/>
              </w:rPr>
              <w:t xml:space="preserve">Riepilogo Trattativa MEPA n. ____ </w:t>
            </w:r>
            <w:r w:rsidRPr="541BBD01">
              <w:rPr>
                <w:rFonts w:ascii="Titillium Web" w:eastAsia="Titillium Web" w:hAnsi="Titillium Web" w:cs="Titillium Web"/>
                <w:sz w:val="18"/>
                <w:szCs w:val="18"/>
                <w:lang w:val="it"/>
              </w:rPr>
              <w:t xml:space="preserve"> 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F7C29A8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AB12345679</w:t>
            </w:r>
          </w:p>
        </w:tc>
      </w:tr>
      <w:tr w:rsidR="0084741E" w14:paraId="68F45B41" w14:textId="77777777" w:rsidTr="00534F51">
        <w:trPr>
          <w:trHeight w:val="300"/>
        </w:trPr>
        <w:tc>
          <w:tcPr>
            <w:tcW w:w="1770" w:type="dxa"/>
            <w:tcBorders>
              <w:lef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3E35B5F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contabilità</w:t>
            </w:r>
          </w:p>
        </w:tc>
        <w:tc>
          <w:tcPr>
            <w:tcW w:w="1995" w:type="dxa"/>
            <w:shd w:val="clear" w:color="auto" w:fill="auto"/>
            <w:tcMar>
              <w:left w:w="90" w:type="dxa"/>
              <w:right w:w="90" w:type="dxa"/>
            </w:tcMar>
          </w:tcPr>
          <w:p w14:paraId="64350AC0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Comune di __</w:t>
            </w:r>
            <w:proofErr w:type="gramStart"/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_  (</w:t>
            </w:r>
            <w:proofErr w:type="gramEnd"/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realizzazione in economia)</w:t>
            </w:r>
          </w:p>
        </w:tc>
        <w:tc>
          <w:tcPr>
            <w:tcW w:w="1650" w:type="dxa"/>
            <w:shd w:val="clear" w:color="auto" w:fill="auto"/>
            <w:tcMar>
              <w:left w:w="90" w:type="dxa"/>
              <w:right w:w="90" w:type="dxa"/>
            </w:tcMar>
          </w:tcPr>
          <w:p w14:paraId="61EA4D47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Ods-Mario Rossi.pdf</w:t>
            </w:r>
          </w:p>
        </w:tc>
        <w:tc>
          <w:tcPr>
            <w:tcW w:w="1807" w:type="dxa"/>
            <w:shd w:val="clear" w:color="auto" w:fill="auto"/>
            <w:tcMar>
              <w:left w:w="90" w:type="dxa"/>
              <w:right w:w="90" w:type="dxa"/>
            </w:tcMar>
          </w:tcPr>
          <w:p w14:paraId="74A37B59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Ordine di servizio protocollo n.__ del 14/2/2022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EC00E60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541BBD01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AB12345680</w:t>
            </w:r>
          </w:p>
        </w:tc>
      </w:tr>
      <w:tr w:rsidR="0084741E" w14:paraId="1D1C2F4E" w14:textId="77777777" w:rsidTr="00534F51">
        <w:trPr>
          <w:trHeight w:val="300"/>
        </w:trPr>
        <w:tc>
          <w:tcPr>
            <w:tcW w:w="1770" w:type="dxa"/>
            <w:tcBorders>
              <w:lef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15DB96A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 xml:space="preserve">Corso di formazione </w:t>
            </w:r>
            <w:proofErr w:type="gramStart"/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OIDC  (</w:t>
            </w:r>
            <w:proofErr w:type="gramEnd"/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Avviso 1.4.4)</w:t>
            </w:r>
          </w:p>
        </w:tc>
        <w:tc>
          <w:tcPr>
            <w:tcW w:w="1995" w:type="dxa"/>
            <w:shd w:val="clear" w:color="auto" w:fill="auto"/>
            <w:tcMar>
              <w:left w:w="90" w:type="dxa"/>
              <w:right w:w="90" w:type="dxa"/>
            </w:tcMar>
          </w:tcPr>
          <w:p w14:paraId="039EC119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Fornitore 3</w:t>
            </w:r>
          </w:p>
        </w:tc>
        <w:tc>
          <w:tcPr>
            <w:tcW w:w="1650" w:type="dxa"/>
            <w:shd w:val="clear" w:color="auto" w:fill="auto"/>
            <w:tcMar>
              <w:left w:w="90" w:type="dxa"/>
              <w:right w:w="90" w:type="dxa"/>
            </w:tcMar>
          </w:tcPr>
          <w:p w14:paraId="7C62884A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Fornitore3.pdf.P7M</w:t>
            </w:r>
          </w:p>
        </w:tc>
        <w:tc>
          <w:tcPr>
            <w:tcW w:w="1807" w:type="dxa"/>
            <w:shd w:val="clear" w:color="auto" w:fill="auto"/>
            <w:tcMar>
              <w:left w:w="90" w:type="dxa"/>
              <w:right w:w="90" w:type="dxa"/>
            </w:tcMar>
          </w:tcPr>
          <w:p w14:paraId="6B136AA9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 xml:space="preserve">Determina </w:t>
            </w:r>
            <w:proofErr w:type="gramStart"/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n..</w:t>
            </w:r>
            <w:proofErr w:type="gramEnd"/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 xml:space="preserve"> del __/__/____</w:t>
            </w:r>
          </w:p>
          <w:p w14:paraId="62EFC603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</w:pPr>
          </w:p>
        </w:tc>
        <w:tc>
          <w:tcPr>
            <w:tcW w:w="1763" w:type="dxa"/>
            <w:tcBorders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38C3B3B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000000" w:themeColor="text1"/>
                <w:sz w:val="18"/>
                <w:szCs w:val="18"/>
              </w:rPr>
            </w:pPr>
            <w:r w:rsidRPr="213B01EE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AB12345680</w:t>
            </w:r>
          </w:p>
          <w:p w14:paraId="55C90D9D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</w:pPr>
          </w:p>
        </w:tc>
      </w:tr>
      <w:tr w:rsidR="0084741E" w14:paraId="4B263B4C" w14:textId="77777777" w:rsidTr="00534F51">
        <w:trPr>
          <w:trHeight w:val="300"/>
        </w:trPr>
        <w:tc>
          <w:tcPr>
            <w:tcW w:w="177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D4F930F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1F497D"/>
              </w:rPr>
            </w:pPr>
            <w:r w:rsidRPr="00707CF8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...</w:t>
            </w:r>
            <w:proofErr w:type="spellStart"/>
            <w:r w:rsidRPr="00707CF8">
              <w:rPr>
                <w:rFonts w:ascii="Titillium Web" w:eastAsia="Titillium Web" w:hAnsi="Titillium Web" w:cs="Titillium Web"/>
                <w:i/>
                <w:iCs/>
                <w:color w:val="000000" w:themeColor="text1"/>
                <w:sz w:val="18"/>
                <w:szCs w:val="18"/>
                <w:lang w:val="it"/>
              </w:rPr>
              <w:t>etc</w:t>
            </w:r>
            <w:proofErr w:type="spellEnd"/>
          </w:p>
        </w:tc>
        <w:tc>
          <w:tcPr>
            <w:tcW w:w="1995" w:type="dxa"/>
            <w:tcBorders>
              <w:bottom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0C98A7A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1F497D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lang w:val="it"/>
              </w:rPr>
              <w:t>...</w:t>
            </w:r>
          </w:p>
        </w:tc>
        <w:tc>
          <w:tcPr>
            <w:tcW w:w="1650" w:type="dxa"/>
            <w:tcBorders>
              <w:bottom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ED256F7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1F497D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lang w:val="it"/>
              </w:rPr>
              <w:t>...</w:t>
            </w:r>
          </w:p>
        </w:tc>
        <w:tc>
          <w:tcPr>
            <w:tcW w:w="1807" w:type="dxa"/>
            <w:tcBorders>
              <w:bottom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65F2A1B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</w:rPr>
            </w:pPr>
            <w:r w:rsidRPr="541BBD01">
              <w:rPr>
                <w:rFonts w:ascii="Titillium Web" w:eastAsia="Titillium Web" w:hAnsi="Titillium Web" w:cs="Titillium Web"/>
                <w:lang w:val="it"/>
              </w:rPr>
              <w:t>...</w:t>
            </w:r>
          </w:p>
        </w:tc>
        <w:tc>
          <w:tcPr>
            <w:tcW w:w="17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BDF289F" w14:textId="77777777" w:rsidR="0084741E" w:rsidRDefault="0084741E" w:rsidP="00534F51">
            <w:pPr>
              <w:spacing w:line="276" w:lineRule="auto"/>
              <w:rPr>
                <w:rFonts w:ascii="Titillium Web" w:eastAsia="Titillium Web" w:hAnsi="Titillium Web" w:cs="Titillium Web"/>
                <w:color w:val="1F497D"/>
              </w:rPr>
            </w:pPr>
            <w:r w:rsidRPr="541BBD01">
              <w:rPr>
                <w:rFonts w:ascii="Titillium Web" w:eastAsia="Titillium Web" w:hAnsi="Titillium Web" w:cs="Titillium Web"/>
                <w:b/>
                <w:bCs/>
                <w:color w:val="1F497D"/>
                <w:lang w:val="it"/>
              </w:rPr>
              <w:t>...</w:t>
            </w:r>
          </w:p>
        </w:tc>
      </w:tr>
    </w:tbl>
    <w:p w14:paraId="14BD9CCB" w14:textId="77777777" w:rsidR="0084741E" w:rsidRDefault="0084741E" w:rsidP="0084741E">
      <w:pPr>
        <w:spacing w:line="276" w:lineRule="auto"/>
        <w:jc w:val="center"/>
        <w:rPr>
          <w:rFonts w:ascii="Titillium Web" w:eastAsia="Titillium Web" w:hAnsi="Titillium Web" w:cs="Titillium Web"/>
          <w:color w:val="000000" w:themeColor="text1"/>
        </w:rPr>
      </w:pPr>
    </w:p>
    <w:p w14:paraId="4934C47A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CONSIDERATO che con la Determina n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...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del </w:t>
      </w:r>
      <w:r w:rsidRPr="00707CF8">
        <w:rPr>
          <w:rFonts w:ascii="Titillium Web" w:eastAsia="Titillium Web" w:hAnsi="Titillium Web" w:cs="Titillium Web"/>
          <w:color w:val="000000" w:themeColor="text1"/>
          <w:highlight w:val="lightGray"/>
          <w:lang w:val="it"/>
        </w:rPr>
        <w:t xml:space="preserve">... 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il sottoscritto veniva nominato responsabile unico del presente procedimento;</w:t>
      </w:r>
    </w:p>
    <w:p w14:paraId="08626706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VERIFICATA la regolarità sotto il profilo qualitativo del servizio/i reso/i degli operatori descritti in Tabella 1;</w:t>
      </w:r>
    </w:p>
    <w:p w14:paraId="4216F778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00707CF8">
        <w:rPr>
          <w:rFonts w:ascii="Titillium Web" w:eastAsia="Titillium Web" w:hAnsi="Titillium Web" w:cs="Titillium Web"/>
          <w:i/>
          <w:iCs/>
          <w:color w:val="000000" w:themeColor="text1"/>
          <w:highlight w:val="lightGray"/>
          <w:lang w:val="it"/>
        </w:rPr>
        <w:t>Eventuali altri visti o considerato dell’ente</w:t>
      </w:r>
    </w:p>
    <w:p w14:paraId="06208978" w14:textId="77777777" w:rsidR="0084741E" w:rsidRDefault="0084741E" w:rsidP="0084741E">
      <w:pPr>
        <w:spacing w:line="276" w:lineRule="auto"/>
        <w:jc w:val="center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b/>
          <w:bCs/>
          <w:color w:val="000000" w:themeColor="text1"/>
          <w:lang w:val="it"/>
        </w:rPr>
        <w:t>CERTIFICA</w:t>
      </w:r>
    </w:p>
    <w:p w14:paraId="29467006" w14:textId="77777777" w:rsidR="0084741E" w:rsidRDefault="0084741E" w:rsidP="0084741E">
      <w:p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la regolare esecuzione dei servizi indicati in Tabella 1 da parte dell’operatore / degli operatori indicati.</w:t>
      </w:r>
    </w:p>
    <w:p w14:paraId="0E446F33" w14:textId="77777777" w:rsidR="0084741E" w:rsidRDefault="0084741E" w:rsidP="0084741E">
      <w:pPr>
        <w:spacing w:line="276" w:lineRule="auto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i/>
          <w:iCs/>
          <w:color w:val="000000" w:themeColor="text1"/>
          <w:lang w:val="it"/>
        </w:rPr>
        <w:t xml:space="preserve"> </w:t>
      </w:r>
      <w:r w:rsidRPr="00707CF8">
        <w:rPr>
          <w:rFonts w:ascii="Titillium Web" w:eastAsia="Titillium Web" w:hAnsi="Titillium Web" w:cs="Titillium Web"/>
          <w:i/>
          <w:iCs/>
          <w:color w:val="000000" w:themeColor="text1"/>
          <w:highlight w:val="lightGray"/>
          <w:lang w:val="it"/>
        </w:rPr>
        <w:t>Eventuali commenti</w:t>
      </w:r>
    </w:p>
    <w:p w14:paraId="726AA2E8" w14:textId="77777777" w:rsidR="0084741E" w:rsidRDefault="0084741E" w:rsidP="0084741E">
      <w:pPr>
        <w:spacing w:line="276" w:lineRule="auto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Luogo e data                                                                                                                                               </w:t>
      </w:r>
      <w:r w:rsidRPr="541BBD01">
        <w:rPr>
          <w:rFonts w:ascii="Calibri" w:eastAsia="Calibri" w:hAnsi="Calibri" w:cs="Calibri"/>
          <w:color w:val="000000" w:themeColor="text1"/>
        </w:rPr>
        <w:t>        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1BBD01">
        <w:rPr>
          <w:rFonts w:ascii="Calibri" w:eastAsia="Calibri" w:hAnsi="Calibri" w:cs="Calibri"/>
          <w:color w:val="000000" w:themeColor="text1"/>
        </w:rPr>
        <w:t> </w:t>
      </w: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Firma digitale</w:t>
      </w:r>
    </w:p>
    <w:p w14:paraId="7FF8A500" w14:textId="77777777" w:rsidR="0084741E" w:rsidRDefault="0084741E" w:rsidP="0084741E">
      <w:pPr>
        <w:spacing w:line="276" w:lineRule="auto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 xml:space="preserve"> </w:t>
      </w:r>
    </w:p>
    <w:p w14:paraId="00DEE19F" w14:textId="77777777" w:rsidR="0084741E" w:rsidRDefault="0084741E" w:rsidP="0084741E">
      <w:pPr>
        <w:spacing w:line="276" w:lineRule="auto"/>
        <w:rPr>
          <w:rFonts w:ascii="Titillium Web" w:eastAsia="Titillium Web" w:hAnsi="Titillium Web" w:cs="Titillium Web"/>
          <w:color w:val="000000" w:themeColor="text1"/>
          <w:lang w:val="it"/>
        </w:rPr>
      </w:pPr>
    </w:p>
    <w:p w14:paraId="0182448B" w14:textId="77777777" w:rsidR="0084741E" w:rsidRDefault="0084741E" w:rsidP="0084741E">
      <w:pPr>
        <w:spacing w:line="276" w:lineRule="auto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lastRenderedPageBreak/>
        <w:t xml:space="preserve">NOTE: </w:t>
      </w:r>
    </w:p>
    <w:p w14:paraId="7D8C2950" w14:textId="77777777" w:rsidR="0084741E" w:rsidRDefault="0084741E" w:rsidP="0084741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Il format considera gli elementi minimi che un CRE deve contenere, ma può essere integrato con eventuali altre informazioni che l’ente attuatore ritiene utile richiamare. (es: clausole contrattuali riferite alle tempistiche di emissione della fattura da parte dell’operatore).</w:t>
      </w:r>
    </w:p>
    <w:p w14:paraId="0519DCD6" w14:textId="77777777" w:rsidR="0084741E" w:rsidRDefault="0084741E" w:rsidP="0084741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tillium Web" w:eastAsia="Titillium Web" w:hAnsi="Titillium Web" w:cs="Titillium Web"/>
          <w:color w:val="000000" w:themeColor="text1"/>
        </w:rPr>
      </w:pPr>
      <w:r w:rsidRPr="541BBD01">
        <w:rPr>
          <w:rFonts w:ascii="Titillium Web" w:eastAsia="Titillium Web" w:hAnsi="Titillium Web" w:cs="Titillium Web"/>
          <w:color w:val="000000" w:themeColor="text1"/>
          <w:lang w:val="it"/>
        </w:rPr>
        <w:t>In caso di contratti quadro contenenti più servizi, anche di durata pluriennale, è necessario specificare in modo dettagliato il servizio oggetto di CRE al fine di circoscrivere il perimetro di regolare esecuzione dei servizi per i quali si certifica e per cui l’operatore economico potrà emettere fattura.</w:t>
      </w:r>
    </w:p>
    <w:p w14:paraId="3B550E03" w14:textId="5C94C5B3" w:rsidR="007D5253" w:rsidRDefault="007D5253"/>
    <w:sectPr w:rsidR="007D5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8F15"/>
    <w:multiLevelType w:val="multilevel"/>
    <w:tmpl w:val="0B12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1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1E"/>
    <w:rsid w:val="007D5253"/>
    <w:rsid w:val="008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5D33"/>
  <w15:chartTrackingRefBased/>
  <w15:docId w15:val="{91322C9A-1E06-40A8-880D-954622E7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41E"/>
    <w:rPr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7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474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Paragrafoelenco">
    <w:name w:val="List Paragraph"/>
    <w:basedOn w:val="Normale"/>
    <w:uiPriority w:val="34"/>
    <w:qFormat/>
    <w:rsid w:val="008474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84741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Capoferri</dc:creator>
  <cp:keywords/>
  <dc:description/>
  <cp:lastModifiedBy>Valentina Capoferri</cp:lastModifiedBy>
  <cp:revision>1</cp:revision>
  <dcterms:created xsi:type="dcterms:W3CDTF">2024-01-24T10:21:00Z</dcterms:created>
  <dcterms:modified xsi:type="dcterms:W3CDTF">2024-01-24T10:22:00Z</dcterms:modified>
</cp:coreProperties>
</file>